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EC34DD" w14:textId="77777777" w:rsidR="00952A3B" w:rsidRPr="004D124E" w:rsidRDefault="00B876CE">
      <w:pPr>
        <w:jc w:val="center"/>
        <w:rPr>
          <w:b/>
          <w:bCs/>
        </w:rPr>
      </w:pPr>
      <w:bookmarkStart w:id="0" w:name="_GoBack"/>
      <w:bookmarkEnd w:id="0"/>
      <w:r w:rsidRPr="004D124E">
        <w:rPr>
          <w:b/>
          <w:bCs/>
        </w:rPr>
        <w:t>COPYRIGHT TRANSFER AGREEMENT</w:t>
      </w:r>
    </w:p>
    <w:p w14:paraId="31B4F1A1" w14:textId="77777777" w:rsidR="00952A3B" w:rsidRPr="004D124E" w:rsidRDefault="00952A3B">
      <w:pPr>
        <w:jc w:val="center"/>
        <w:rPr>
          <w:b/>
          <w:bCs/>
        </w:rPr>
      </w:pPr>
    </w:p>
    <w:p w14:paraId="05A6842F" w14:textId="77777777" w:rsidR="00952A3B" w:rsidRPr="004D124E" w:rsidRDefault="00952A3B">
      <w:pPr>
        <w:jc w:val="both"/>
      </w:pPr>
      <w:r w:rsidRPr="004D124E">
        <w:t>concluded on .......................... in Lublin by and between</w:t>
      </w:r>
    </w:p>
    <w:p w14:paraId="6029B89E" w14:textId="77777777" w:rsidR="00952A3B" w:rsidRPr="004D124E" w:rsidRDefault="000E7952">
      <w:pPr>
        <w:jc w:val="both"/>
      </w:pPr>
      <w:r w:rsidRPr="004D124E">
        <w:rPr>
          <w:lang w:val="pl-PL"/>
        </w:rPr>
        <w:t xml:space="preserve">Towarzystwo Naukowe </w:t>
      </w:r>
      <w:r w:rsidR="003D43D6" w:rsidRPr="004D124E">
        <w:rPr>
          <w:lang w:val="pl-PL"/>
        </w:rPr>
        <w:t>KUL</w:t>
      </w:r>
      <w:r w:rsidR="00371C7C" w:rsidRPr="004D124E">
        <w:rPr>
          <w:lang w:val="pl-PL"/>
        </w:rPr>
        <w:t xml:space="preserve">/The </w:t>
      </w:r>
      <w:proofErr w:type="spellStart"/>
      <w:r w:rsidR="00371C7C" w:rsidRPr="004D124E">
        <w:rPr>
          <w:lang w:val="pl-PL"/>
        </w:rPr>
        <w:t>Learned</w:t>
      </w:r>
      <w:proofErr w:type="spellEnd"/>
      <w:r w:rsidR="00371C7C" w:rsidRPr="004D124E">
        <w:rPr>
          <w:lang w:val="pl-PL"/>
        </w:rPr>
        <w:t xml:space="preserve"> </w:t>
      </w:r>
      <w:proofErr w:type="spellStart"/>
      <w:r w:rsidR="00371C7C" w:rsidRPr="004D124E">
        <w:rPr>
          <w:lang w:val="pl-PL"/>
        </w:rPr>
        <w:t>Society</w:t>
      </w:r>
      <w:proofErr w:type="spellEnd"/>
      <w:r w:rsidR="00371C7C" w:rsidRPr="004D124E">
        <w:rPr>
          <w:lang w:val="pl-PL"/>
        </w:rPr>
        <w:t xml:space="preserve"> of KUL</w:t>
      </w:r>
      <w:r w:rsidR="003D43D6" w:rsidRPr="004D124E">
        <w:rPr>
          <w:lang w:val="pl-PL"/>
        </w:rPr>
        <w:t xml:space="preserve">, ul. </w:t>
      </w:r>
      <w:proofErr w:type="spellStart"/>
      <w:r w:rsidR="007803B7">
        <w:t>Spokojna</w:t>
      </w:r>
      <w:proofErr w:type="spellEnd"/>
      <w:r w:rsidR="007803B7">
        <w:t xml:space="preserve"> 1</w:t>
      </w:r>
      <w:r w:rsidR="00E51BA4">
        <w:t>/408-409</w:t>
      </w:r>
      <w:r w:rsidR="007803B7">
        <w:t>, 20-07</w:t>
      </w:r>
      <w:r w:rsidR="00B00D0B">
        <w:t>4</w:t>
      </w:r>
      <w:r w:rsidR="003D43D6" w:rsidRPr="004D124E">
        <w:t xml:space="preserve"> Lublin</w:t>
      </w:r>
      <w:r w:rsidR="00371C7C" w:rsidRPr="004D124E">
        <w:t>, Poland</w:t>
      </w:r>
      <w:r w:rsidR="000F7493">
        <w:t>,</w:t>
      </w:r>
      <w:r w:rsidR="007803B7">
        <w:t xml:space="preserve"> </w:t>
      </w:r>
      <w:r w:rsidR="007803B7" w:rsidRPr="007803B7">
        <w:t>correspondence address</w:t>
      </w:r>
      <w:r w:rsidR="007803B7">
        <w:t xml:space="preserve">: Al. </w:t>
      </w:r>
      <w:proofErr w:type="spellStart"/>
      <w:r w:rsidR="007803B7">
        <w:t>Racławickie</w:t>
      </w:r>
      <w:proofErr w:type="spellEnd"/>
      <w:r w:rsidR="007803B7">
        <w:t xml:space="preserve"> 8/16, 20-037 Lublin, Poland</w:t>
      </w:r>
      <w:r w:rsidR="003D43D6" w:rsidRPr="004D124E">
        <w:t xml:space="preserve"> </w:t>
      </w:r>
    </w:p>
    <w:p w14:paraId="3B9C726B" w14:textId="77777777" w:rsidR="004E382D" w:rsidRPr="004D124E" w:rsidRDefault="00952A3B">
      <w:pPr>
        <w:jc w:val="both"/>
      </w:pPr>
      <w:r w:rsidRPr="004D124E">
        <w:t xml:space="preserve">represented by </w:t>
      </w:r>
    </w:p>
    <w:p w14:paraId="7BDE57B9" w14:textId="77777777" w:rsidR="00084640" w:rsidRPr="004D124E" w:rsidRDefault="000E7952">
      <w:pPr>
        <w:jc w:val="both"/>
      </w:pPr>
      <w:r w:rsidRPr="004D124E">
        <w:t>D</w:t>
      </w:r>
      <w:r w:rsidR="00084640" w:rsidRPr="004D124E">
        <w:t xml:space="preserve">irector Alina </w:t>
      </w:r>
      <w:proofErr w:type="spellStart"/>
      <w:r w:rsidR="00084640" w:rsidRPr="004D124E">
        <w:t>Żuk</w:t>
      </w:r>
      <w:proofErr w:type="spellEnd"/>
      <w:r w:rsidRPr="004D124E">
        <w:t>, acting</w:t>
      </w:r>
      <w:r w:rsidR="00084640" w:rsidRPr="004D124E">
        <w:t xml:space="preserve"> on the power of attorney dated 10</w:t>
      </w:r>
      <w:r w:rsidRPr="004D124E">
        <w:t xml:space="preserve"> October </w:t>
      </w:r>
      <w:r w:rsidR="00084640" w:rsidRPr="004D124E">
        <w:t>2017</w:t>
      </w:r>
      <w:r w:rsidR="00CC659B" w:rsidRPr="004D124E">
        <w:t>,</w:t>
      </w:r>
    </w:p>
    <w:p w14:paraId="1BD840C8" w14:textId="77777777" w:rsidR="00952A3B" w:rsidRPr="004D124E" w:rsidRDefault="00952A3B">
      <w:pPr>
        <w:jc w:val="both"/>
      </w:pPr>
      <w:r w:rsidRPr="004D124E">
        <w:t>hereinafter referred to as the Publisher</w:t>
      </w:r>
    </w:p>
    <w:p w14:paraId="5239F3C6" w14:textId="77777777" w:rsidR="00952A3B" w:rsidRPr="004D124E" w:rsidRDefault="00952A3B">
      <w:pPr>
        <w:jc w:val="both"/>
      </w:pPr>
    </w:p>
    <w:p w14:paraId="1449D8D6" w14:textId="77777777" w:rsidR="00952A3B" w:rsidRPr="004D124E" w:rsidRDefault="00952A3B">
      <w:pPr>
        <w:jc w:val="both"/>
      </w:pPr>
      <w:r w:rsidRPr="004D124E">
        <w:t>and ...............................................................................................................................</w:t>
      </w:r>
    </w:p>
    <w:p w14:paraId="70103E6A" w14:textId="77777777" w:rsidR="00952A3B" w:rsidRPr="004D124E" w:rsidRDefault="00952A3B">
      <w:pPr>
        <w:jc w:val="both"/>
        <w:rPr>
          <w:b/>
          <w:bCs/>
        </w:rPr>
      </w:pPr>
      <w:r w:rsidRPr="004D124E">
        <w:t>hereinafter referred to as the Author</w:t>
      </w:r>
    </w:p>
    <w:p w14:paraId="3A375CF2" w14:textId="77777777" w:rsidR="00952A3B" w:rsidRPr="004D124E" w:rsidRDefault="00952A3B">
      <w:pPr>
        <w:jc w:val="center"/>
        <w:rPr>
          <w:b/>
          <w:bCs/>
        </w:rPr>
      </w:pPr>
    </w:p>
    <w:p w14:paraId="78F5943D" w14:textId="77777777" w:rsidR="00952A3B" w:rsidRPr="004D124E" w:rsidRDefault="00952A3B">
      <w:pPr>
        <w:jc w:val="center"/>
      </w:pPr>
      <w:r w:rsidRPr="004D124E">
        <w:rPr>
          <w:b/>
          <w:bCs/>
          <w:lang w:val="pl-PL"/>
        </w:rPr>
        <w:t>§ 1</w:t>
      </w:r>
    </w:p>
    <w:p w14:paraId="0044F0AF" w14:textId="77777777" w:rsidR="00EA55A1" w:rsidRPr="004D124E" w:rsidRDefault="00EA55A1">
      <w:pPr>
        <w:numPr>
          <w:ilvl w:val="0"/>
          <w:numId w:val="2"/>
        </w:numPr>
        <w:jc w:val="both"/>
      </w:pPr>
      <w:proofErr w:type="spellStart"/>
      <w:r w:rsidRPr="004D124E">
        <w:t>Towarzystwo</w:t>
      </w:r>
      <w:proofErr w:type="spellEnd"/>
      <w:r w:rsidRPr="004D124E">
        <w:t xml:space="preserve"> </w:t>
      </w:r>
      <w:proofErr w:type="spellStart"/>
      <w:r w:rsidRPr="004D124E">
        <w:t>Naukowe</w:t>
      </w:r>
      <w:proofErr w:type="spellEnd"/>
      <w:r w:rsidRPr="004D124E">
        <w:t xml:space="preserve"> KUL represents and warrants that it concludes this Agreement</w:t>
      </w:r>
      <w:r w:rsidR="00EE07A1" w:rsidRPr="004D124E">
        <w:t xml:space="preserve"> also on behalf of the John Paul II Catholic University of Lublin pursuant to § 2 point 7 of the Publishing Collaboration Agreement No. 1/2019 dated 12 June 2019. </w:t>
      </w:r>
      <w:r w:rsidR="0032668E" w:rsidRPr="004D124E">
        <w:t>The word "Publisher", as used throughout this Agreement</w:t>
      </w:r>
      <w:r w:rsidR="00371C7C" w:rsidRPr="004D124E">
        <w:t>,</w:t>
      </w:r>
      <w:r w:rsidR="0032668E" w:rsidRPr="004D124E">
        <w:t xml:space="preserve"> </w:t>
      </w:r>
      <w:r w:rsidR="00807B5E" w:rsidRPr="004D124E">
        <w:t>shall denote</w:t>
      </w:r>
      <w:r w:rsidR="0032668E" w:rsidRPr="004D124E">
        <w:t xml:space="preserve"> </w:t>
      </w:r>
      <w:r w:rsidR="00371C7C" w:rsidRPr="004D124E">
        <w:t>The Learned Society of KUL and the John Paul II Catholic University of Lublin</w:t>
      </w:r>
      <w:r w:rsidR="00807B5E" w:rsidRPr="004D124E">
        <w:t>.</w:t>
      </w:r>
    </w:p>
    <w:p w14:paraId="6FD21B40" w14:textId="77777777" w:rsidR="00952A3B" w:rsidRPr="004D124E" w:rsidRDefault="00952A3B">
      <w:pPr>
        <w:numPr>
          <w:ilvl w:val="0"/>
          <w:numId w:val="2"/>
        </w:numPr>
        <w:jc w:val="both"/>
      </w:pPr>
      <w:r w:rsidRPr="004D124E">
        <w:t>The Author represents and warrants that he/she is the creator of the work as defined in the</w:t>
      </w:r>
      <w:r w:rsidR="00B876CE" w:rsidRPr="004D124E">
        <w:t xml:space="preserve"> </w:t>
      </w:r>
      <w:r w:rsidRPr="004D124E">
        <w:t xml:space="preserve">Copyright and </w:t>
      </w:r>
      <w:r w:rsidR="000E7952" w:rsidRPr="004D124E">
        <w:t>Related</w:t>
      </w:r>
      <w:r w:rsidRPr="004D124E">
        <w:t xml:space="preserve"> Rights Act (hereinafter referred to as the "Work").</w:t>
      </w:r>
    </w:p>
    <w:p w14:paraId="6A6C507F" w14:textId="77777777" w:rsidR="00952A3B" w:rsidRPr="004D124E" w:rsidRDefault="00952A3B">
      <w:pPr>
        <w:numPr>
          <w:ilvl w:val="0"/>
          <w:numId w:val="2"/>
        </w:numPr>
        <w:jc w:val="both"/>
      </w:pPr>
      <w:r w:rsidRPr="004D124E">
        <w:t>The Author represents and warrants that:</w:t>
      </w:r>
    </w:p>
    <w:p w14:paraId="58591617" w14:textId="77777777" w:rsidR="00952A3B" w:rsidRPr="004D124E" w:rsidRDefault="00952A3B">
      <w:pPr>
        <w:numPr>
          <w:ilvl w:val="1"/>
          <w:numId w:val="2"/>
        </w:numPr>
        <w:jc w:val="both"/>
      </w:pPr>
      <w:r w:rsidRPr="004D124E">
        <w:t>he/she enjoys exclusive and unlimited copyright (</w:t>
      </w:r>
      <w:r w:rsidR="00EA55A1" w:rsidRPr="004D124E">
        <w:t>moral and economic) in the Work</w:t>
      </w:r>
    </w:p>
    <w:p w14:paraId="6CB15728" w14:textId="77777777" w:rsidR="00952A3B" w:rsidRPr="004D124E" w:rsidRDefault="00952A3B">
      <w:pPr>
        <w:numPr>
          <w:ilvl w:val="1"/>
          <w:numId w:val="2"/>
        </w:numPr>
        <w:jc w:val="both"/>
      </w:pPr>
      <w:r w:rsidRPr="004D124E">
        <w:t xml:space="preserve">he/she can dispose of the copyright in the Work to the extent necessary to enter </w:t>
      </w:r>
      <w:r w:rsidR="00EA55A1" w:rsidRPr="004D124E">
        <w:t>into and perform this Agreement</w:t>
      </w:r>
    </w:p>
    <w:p w14:paraId="6A697B76" w14:textId="77777777" w:rsidR="00952A3B" w:rsidRPr="004D124E" w:rsidRDefault="00952A3B">
      <w:pPr>
        <w:numPr>
          <w:ilvl w:val="1"/>
          <w:numId w:val="2"/>
        </w:numPr>
        <w:jc w:val="both"/>
      </w:pPr>
      <w:r w:rsidRPr="004D124E">
        <w:t>his/her economic rights in the work have not been seized in the meaning of the provis</w:t>
      </w:r>
      <w:r w:rsidR="00EA55A1" w:rsidRPr="004D124E">
        <w:t>ions on enforcement proceedings</w:t>
      </w:r>
    </w:p>
    <w:p w14:paraId="6BB2474A" w14:textId="77777777" w:rsidR="00952A3B" w:rsidRPr="004D124E" w:rsidRDefault="00952A3B">
      <w:pPr>
        <w:numPr>
          <w:ilvl w:val="1"/>
          <w:numId w:val="2"/>
        </w:numPr>
        <w:jc w:val="both"/>
      </w:pPr>
      <w:r w:rsidRPr="004D124E">
        <w:t>he/she</w:t>
      </w:r>
      <w:r w:rsidR="00EA55A1" w:rsidRPr="004D124E">
        <w:t xml:space="preserve"> is the sole author of the Work</w:t>
      </w:r>
    </w:p>
    <w:p w14:paraId="3165D187" w14:textId="77777777" w:rsidR="00952A3B" w:rsidRPr="004D124E" w:rsidRDefault="00952A3B">
      <w:pPr>
        <w:numPr>
          <w:ilvl w:val="1"/>
          <w:numId w:val="2"/>
        </w:numPr>
        <w:jc w:val="both"/>
      </w:pPr>
      <w:r w:rsidRPr="004D124E">
        <w:t>the Work is not a derivative version, alteration or adaptation of anyone else's work</w:t>
      </w:r>
    </w:p>
    <w:p w14:paraId="2A23F466" w14:textId="77777777" w:rsidR="00952A3B" w:rsidRPr="004D124E" w:rsidRDefault="00952A3B">
      <w:pPr>
        <w:numPr>
          <w:ilvl w:val="1"/>
          <w:numId w:val="2"/>
        </w:numPr>
        <w:jc w:val="both"/>
        <w:rPr>
          <w:b/>
          <w:bCs/>
        </w:rPr>
      </w:pPr>
      <w:r w:rsidRPr="004D124E">
        <w:t>the Work has not been published or disseminated before.</w:t>
      </w:r>
    </w:p>
    <w:p w14:paraId="4063A40D" w14:textId="77777777" w:rsidR="00952A3B" w:rsidRPr="004D124E" w:rsidRDefault="00952A3B">
      <w:pPr>
        <w:jc w:val="center"/>
        <w:rPr>
          <w:b/>
          <w:bCs/>
        </w:rPr>
      </w:pPr>
    </w:p>
    <w:p w14:paraId="49996D00" w14:textId="77777777" w:rsidR="00952A3B" w:rsidRPr="004D124E" w:rsidRDefault="00952A3B">
      <w:pPr>
        <w:jc w:val="center"/>
      </w:pPr>
      <w:r w:rsidRPr="004D124E">
        <w:rPr>
          <w:b/>
          <w:bCs/>
          <w:lang w:val="pl-PL"/>
        </w:rPr>
        <w:t>§ 2</w:t>
      </w:r>
    </w:p>
    <w:p w14:paraId="1DF77085" w14:textId="77777777" w:rsidR="003D43D6" w:rsidRPr="004D124E" w:rsidRDefault="00952A3B" w:rsidP="003D43D6">
      <w:pPr>
        <w:numPr>
          <w:ilvl w:val="0"/>
          <w:numId w:val="3"/>
        </w:numPr>
        <w:jc w:val="both"/>
        <w:rPr>
          <w:lang w:val="en-US"/>
        </w:rPr>
      </w:pPr>
      <w:r w:rsidRPr="004D124E">
        <w:t xml:space="preserve">The object of this Agreement is the Work </w:t>
      </w:r>
    </w:p>
    <w:p w14:paraId="38A457CA" w14:textId="77777777" w:rsidR="00952A3B" w:rsidRPr="004D124E" w:rsidRDefault="00952A3B" w:rsidP="003D43D6">
      <w:pPr>
        <w:ind w:left="720"/>
        <w:jc w:val="both"/>
        <w:rPr>
          <w:lang w:val="en-US"/>
        </w:rPr>
      </w:pPr>
      <w:r w:rsidRPr="004D124E">
        <w:t>………………………………………………………………………………………………………………………………………………………………………….............</w:t>
      </w:r>
      <w:r w:rsidR="003D43D6" w:rsidRPr="004D124E">
        <w:t>... to be published in [</w:t>
      </w:r>
      <w:r w:rsidR="003D43D6" w:rsidRPr="004D124E">
        <w:rPr>
          <w:b/>
        </w:rPr>
        <w:t>title of the magazine</w:t>
      </w:r>
      <w:r w:rsidR="003D43D6" w:rsidRPr="004D124E">
        <w:t>,</w:t>
      </w:r>
      <w:r w:rsidRPr="004D124E">
        <w:rPr>
          <w:b/>
        </w:rPr>
        <w:t xml:space="preserve"> Vol.</w:t>
      </w:r>
      <w:r w:rsidR="003D43D6" w:rsidRPr="004D124E">
        <w:rPr>
          <w:b/>
        </w:rPr>
        <w:t xml:space="preserve">, </w:t>
      </w:r>
      <w:r w:rsidRPr="004D124E">
        <w:rPr>
          <w:b/>
        </w:rPr>
        <w:t>Y</w:t>
      </w:r>
      <w:r w:rsidR="003D43D6" w:rsidRPr="004D124E">
        <w:rPr>
          <w:b/>
        </w:rPr>
        <w:t>ear,</w:t>
      </w:r>
      <w:r w:rsidRPr="004D124E">
        <w:rPr>
          <w:b/>
        </w:rPr>
        <w:t xml:space="preserve"> No</w:t>
      </w:r>
      <w:r w:rsidR="003D43D6" w:rsidRPr="004D124E">
        <w:t>]</w:t>
      </w:r>
      <w:r w:rsidRPr="004D124E">
        <w:t xml:space="preserve"> .......</w:t>
      </w:r>
    </w:p>
    <w:p w14:paraId="13C8A013" w14:textId="77777777" w:rsidR="00952A3B" w:rsidRPr="004D124E" w:rsidRDefault="00952A3B">
      <w:pPr>
        <w:numPr>
          <w:ilvl w:val="0"/>
          <w:numId w:val="3"/>
        </w:numPr>
        <w:jc w:val="both"/>
      </w:pPr>
      <w:r w:rsidRPr="004D124E">
        <w:t>...............................................................................</w:t>
      </w:r>
      <w:r w:rsidR="00EA55A1" w:rsidRPr="004D124E">
        <w:t xml:space="preserve"> </w:t>
      </w:r>
      <w:r w:rsidRPr="004D124E">
        <w:t>is the Author/are the Authors of the Work.</w:t>
      </w:r>
    </w:p>
    <w:p w14:paraId="12B1BB84" w14:textId="77777777" w:rsidR="00952A3B" w:rsidRPr="004D124E" w:rsidRDefault="00952A3B">
      <w:pPr>
        <w:jc w:val="both"/>
      </w:pPr>
    </w:p>
    <w:p w14:paraId="47737CC9" w14:textId="77777777" w:rsidR="00952A3B" w:rsidRPr="004D124E" w:rsidRDefault="00952A3B">
      <w:pPr>
        <w:jc w:val="center"/>
      </w:pPr>
      <w:r w:rsidRPr="004D124E">
        <w:rPr>
          <w:b/>
          <w:bCs/>
          <w:lang w:val="pl-PL"/>
        </w:rPr>
        <w:t>§ 3</w:t>
      </w:r>
    </w:p>
    <w:p w14:paraId="34870FF3" w14:textId="77777777" w:rsidR="00952A3B" w:rsidRPr="004D124E" w:rsidRDefault="00952A3B">
      <w:pPr>
        <w:numPr>
          <w:ilvl w:val="0"/>
          <w:numId w:val="4"/>
        </w:numPr>
        <w:jc w:val="both"/>
      </w:pPr>
      <w:r w:rsidRPr="004D124E">
        <w:t>The Author transfers to the Publisher all economic rights in the Work listed in § 2.</w:t>
      </w:r>
    </w:p>
    <w:p w14:paraId="3C7BAA74" w14:textId="77777777" w:rsidR="00952A3B" w:rsidRPr="004D124E" w:rsidRDefault="00952A3B">
      <w:pPr>
        <w:numPr>
          <w:ilvl w:val="0"/>
          <w:numId w:val="4"/>
        </w:numPr>
        <w:jc w:val="both"/>
      </w:pPr>
      <w:r w:rsidRPr="004D124E">
        <w:t>The transfer of economic rights in the Work shall include the following fields of exploitation:</w:t>
      </w:r>
    </w:p>
    <w:p w14:paraId="6F47016C" w14:textId="77777777" w:rsidR="00952A3B" w:rsidRPr="004D124E" w:rsidRDefault="00952A3B">
      <w:pPr>
        <w:numPr>
          <w:ilvl w:val="1"/>
          <w:numId w:val="4"/>
        </w:numPr>
        <w:jc w:val="both"/>
      </w:pPr>
      <w:r w:rsidRPr="004D124E">
        <w:t>within the scope of fixation and reproduction of the work - production of copies of the work with the use of specific technology, including printing, reprography, magnetic storage and digital technology (digitization);</w:t>
      </w:r>
    </w:p>
    <w:p w14:paraId="120E91E9" w14:textId="77777777" w:rsidR="00952A3B" w:rsidRPr="004D124E" w:rsidRDefault="00952A3B">
      <w:pPr>
        <w:numPr>
          <w:ilvl w:val="1"/>
          <w:numId w:val="4"/>
        </w:numPr>
        <w:jc w:val="both"/>
      </w:pPr>
      <w:r w:rsidRPr="004D124E">
        <w:t>within the scope of trading in the original work or the copies on which the work was fixed - marketing, lending for use or renting the original or its copies;</w:t>
      </w:r>
    </w:p>
    <w:p w14:paraId="54004CEB" w14:textId="77777777" w:rsidR="00952A3B" w:rsidRPr="004D124E" w:rsidRDefault="00952A3B">
      <w:pPr>
        <w:numPr>
          <w:ilvl w:val="1"/>
          <w:numId w:val="4"/>
        </w:numPr>
        <w:jc w:val="both"/>
      </w:pPr>
      <w:r w:rsidRPr="004D124E">
        <w:t>within the scope of dissemination of the work in a manner other than defined in subparagraph b - public exhibition as well as making the work (including its digital version) available to the public in such a manner that anyone may access it at a place and time of their choosing.</w:t>
      </w:r>
    </w:p>
    <w:p w14:paraId="2A93B2D5" w14:textId="77777777" w:rsidR="00952A3B" w:rsidRPr="004D124E" w:rsidRDefault="00952A3B">
      <w:pPr>
        <w:numPr>
          <w:ilvl w:val="0"/>
          <w:numId w:val="4"/>
        </w:numPr>
        <w:jc w:val="both"/>
      </w:pPr>
      <w:r w:rsidRPr="004D124E">
        <w:t>Within the scope defined in paragraph 2 the Publisher shall be entitled to use or resale the Work.</w:t>
      </w:r>
    </w:p>
    <w:p w14:paraId="7F405896" w14:textId="77777777" w:rsidR="00952A3B" w:rsidRPr="004D124E" w:rsidRDefault="00952A3B">
      <w:pPr>
        <w:numPr>
          <w:ilvl w:val="0"/>
          <w:numId w:val="4"/>
        </w:numPr>
        <w:jc w:val="both"/>
        <w:rPr>
          <w:b/>
          <w:bCs/>
        </w:rPr>
      </w:pPr>
      <w:r w:rsidRPr="004D124E">
        <w:t>The Agreement shall be gratuitous and shall be concluded for an indefinite period of time.</w:t>
      </w:r>
    </w:p>
    <w:p w14:paraId="62937012" w14:textId="77777777" w:rsidR="00952A3B" w:rsidRPr="004D124E" w:rsidRDefault="00952A3B">
      <w:pPr>
        <w:jc w:val="center"/>
        <w:rPr>
          <w:b/>
          <w:bCs/>
        </w:rPr>
      </w:pPr>
    </w:p>
    <w:p w14:paraId="4D3F4CDD" w14:textId="77777777" w:rsidR="00952A3B" w:rsidRPr="004D124E" w:rsidRDefault="00952A3B">
      <w:pPr>
        <w:jc w:val="center"/>
      </w:pPr>
      <w:r w:rsidRPr="004D124E">
        <w:rPr>
          <w:b/>
          <w:bCs/>
        </w:rPr>
        <w:t>§ 4</w:t>
      </w:r>
    </w:p>
    <w:p w14:paraId="10748A76" w14:textId="77777777" w:rsidR="00952A3B" w:rsidRPr="004D124E" w:rsidRDefault="00952A3B">
      <w:pPr>
        <w:ind w:left="737" w:hanging="340"/>
      </w:pPr>
      <w:r w:rsidRPr="004D124E">
        <w:t>The author is obliged to deliver the Work consistent in form and substance with the requirements laid down by the Publisher in the Information for Authors</w:t>
      </w:r>
      <w:r w:rsidR="006C77BA" w:rsidRPr="004D124E">
        <w:t>.</w:t>
      </w:r>
    </w:p>
    <w:p w14:paraId="61F091FA" w14:textId="77777777" w:rsidR="00952A3B" w:rsidRPr="004D124E" w:rsidRDefault="00952A3B">
      <w:pPr>
        <w:jc w:val="both"/>
      </w:pPr>
    </w:p>
    <w:p w14:paraId="651D1E1A" w14:textId="77777777" w:rsidR="00952A3B" w:rsidRPr="004D124E" w:rsidRDefault="00952A3B">
      <w:pPr>
        <w:jc w:val="center"/>
      </w:pPr>
      <w:r w:rsidRPr="004D124E">
        <w:rPr>
          <w:b/>
          <w:bCs/>
          <w:lang w:val="pl-PL"/>
        </w:rPr>
        <w:t>§ 5</w:t>
      </w:r>
    </w:p>
    <w:p w14:paraId="2918B612" w14:textId="77777777" w:rsidR="00952A3B" w:rsidRPr="004D124E" w:rsidRDefault="00952A3B">
      <w:pPr>
        <w:numPr>
          <w:ilvl w:val="0"/>
          <w:numId w:val="5"/>
        </w:numPr>
        <w:jc w:val="both"/>
      </w:pPr>
      <w:r w:rsidRPr="004D124E">
        <w:t>The Publisher shall be entitled to make editorial revisions in the Work.</w:t>
      </w:r>
    </w:p>
    <w:p w14:paraId="340D9639" w14:textId="77777777" w:rsidR="00952A3B" w:rsidRPr="004D124E" w:rsidRDefault="00952A3B">
      <w:pPr>
        <w:numPr>
          <w:ilvl w:val="0"/>
          <w:numId w:val="5"/>
        </w:numPr>
        <w:jc w:val="both"/>
      </w:pPr>
      <w:r w:rsidRPr="004D124E">
        <w:t>After editorial revisions, typesetting and text make-up have been done, the Author shall receive the text for proofreading. If the Author fails to send back the proofread text within two weeks, it shall be understood that he/she consents to the publication of the text in its present form.</w:t>
      </w:r>
    </w:p>
    <w:p w14:paraId="0848DFB4" w14:textId="77777777" w:rsidR="00952A3B" w:rsidRPr="004D124E" w:rsidRDefault="00952A3B">
      <w:pPr>
        <w:numPr>
          <w:ilvl w:val="0"/>
          <w:numId w:val="5"/>
        </w:numPr>
        <w:jc w:val="both"/>
        <w:rPr>
          <w:b/>
          <w:bCs/>
        </w:rPr>
      </w:pPr>
      <w:r w:rsidRPr="004D124E">
        <w:t xml:space="preserve">The Author shall bear the costs resulting from any changes made in the text for which the fault lies with the Author after the typesetting has </w:t>
      </w:r>
      <w:r w:rsidR="00FA361C" w:rsidRPr="004D124E">
        <w:t>commenced</w:t>
      </w:r>
      <w:r w:rsidRPr="004D124E">
        <w:t>, if these changes result in exceeding the cost of typesetting by more than 3%.</w:t>
      </w:r>
    </w:p>
    <w:p w14:paraId="6EBAAB71" w14:textId="77777777" w:rsidR="00952A3B" w:rsidRPr="004D124E" w:rsidRDefault="00952A3B">
      <w:pPr>
        <w:spacing w:before="170"/>
        <w:jc w:val="center"/>
        <w:rPr>
          <w:rFonts w:eastAsia="Times New Roman"/>
        </w:rPr>
      </w:pPr>
      <w:r w:rsidRPr="004D124E">
        <w:rPr>
          <w:b/>
          <w:bCs/>
          <w:lang w:val="pl-PL"/>
        </w:rPr>
        <w:t>§ 6</w:t>
      </w:r>
    </w:p>
    <w:p w14:paraId="0A5010F4" w14:textId="77777777" w:rsidR="00952A3B" w:rsidRPr="004D124E" w:rsidRDefault="00952A3B">
      <w:pPr>
        <w:numPr>
          <w:ilvl w:val="0"/>
          <w:numId w:val="6"/>
        </w:numPr>
        <w:jc w:val="both"/>
      </w:pPr>
      <w:r w:rsidRPr="004D124E">
        <w:rPr>
          <w:rFonts w:eastAsia="Times New Roman"/>
        </w:rPr>
        <w:t>Disputes arising out of or in connection with the Agreement shall be resolved amicably. If the parties fail to reach an amicable resolution</w:t>
      </w:r>
      <w:r w:rsidR="00FA361C" w:rsidRPr="004D124E">
        <w:rPr>
          <w:rFonts w:eastAsia="Times New Roman"/>
        </w:rPr>
        <w:t>,</w:t>
      </w:r>
      <w:r w:rsidRPr="004D124E">
        <w:rPr>
          <w:rFonts w:eastAsia="Times New Roman"/>
        </w:rPr>
        <w:t xml:space="preserve"> the </w:t>
      </w:r>
      <w:r w:rsidR="00FA361C" w:rsidRPr="004D124E">
        <w:rPr>
          <w:rFonts w:eastAsia="Times New Roman"/>
        </w:rPr>
        <w:t>matter shall be resolved by the c</w:t>
      </w:r>
      <w:r w:rsidRPr="004D124E">
        <w:rPr>
          <w:rFonts w:eastAsia="Times New Roman"/>
        </w:rPr>
        <w:t xml:space="preserve">ourt </w:t>
      </w:r>
      <w:r w:rsidR="00CC659B" w:rsidRPr="004D124E">
        <w:rPr>
          <w:rFonts w:eastAsia="Times New Roman"/>
        </w:rPr>
        <w:t xml:space="preserve">locally </w:t>
      </w:r>
      <w:r w:rsidR="00FA361C" w:rsidRPr="004D124E">
        <w:rPr>
          <w:rFonts w:eastAsia="Times New Roman"/>
        </w:rPr>
        <w:t>competent for the registered office of the Society</w:t>
      </w:r>
      <w:r w:rsidRPr="004D124E">
        <w:rPr>
          <w:rFonts w:eastAsia="Times New Roman"/>
        </w:rPr>
        <w:t>.</w:t>
      </w:r>
    </w:p>
    <w:p w14:paraId="3CA720B4" w14:textId="77777777" w:rsidR="00952A3B" w:rsidRPr="004D124E" w:rsidRDefault="00952A3B">
      <w:pPr>
        <w:numPr>
          <w:ilvl w:val="0"/>
          <w:numId w:val="6"/>
        </w:numPr>
        <w:jc w:val="both"/>
      </w:pPr>
      <w:r w:rsidRPr="004D124E">
        <w:t>To all matters not stipulated for herein, the provisions of the Copyright and Neighbouring Rights Act and the provisions of the Civil Code shall apply.</w:t>
      </w:r>
    </w:p>
    <w:p w14:paraId="729E7ED7" w14:textId="77777777" w:rsidR="00952A3B" w:rsidRPr="004D124E" w:rsidRDefault="00952A3B">
      <w:pPr>
        <w:numPr>
          <w:ilvl w:val="0"/>
          <w:numId w:val="6"/>
        </w:numPr>
        <w:jc w:val="both"/>
      </w:pPr>
      <w:r w:rsidRPr="004D124E">
        <w:t>Any and all changes and amendments to the Agreement shall be made in writing or else shall be null and void.</w:t>
      </w:r>
    </w:p>
    <w:p w14:paraId="4574FC0F" w14:textId="77777777" w:rsidR="00952A3B" w:rsidRPr="004D124E" w:rsidRDefault="00952A3B">
      <w:pPr>
        <w:numPr>
          <w:ilvl w:val="0"/>
          <w:numId w:val="6"/>
        </w:numPr>
        <w:jc w:val="both"/>
      </w:pPr>
      <w:r w:rsidRPr="004D124E">
        <w:t xml:space="preserve">The Agreement has been drawn up in </w:t>
      </w:r>
      <w:r w:rsidR="006802D3" w:rsidRPr="004D124E">
        <w:t>two</w:t>
      </w:r>
      <w:r w:rsidRPr="004D124E">
        <w:t xml:space="preserve"> counterparts.</w:t>
      </w:r>
    </w:p>
    <w:p w14:paraId="33F6B254" w14:textId="77777777" w:rsidR="00952A3B" w:rsidRPr="004D124E" w:rsidRDefault="00952A3B">
      <w:pPr>
        <w:jc w:val="both"/>
      </w:pPr>
    </w:p>
    <w:p w14:paraId="1A24030E" w14:textId="77777777" w:rsidR="00A706F7" w:rsidRPr="004D124E" w:rsidRDefault="00A706F7">
      <w:pPr>
        <w:jc w:val="both"/>
      </w:pPr>
    </w:p>
    <w:p w14:paraId="7295EEF3" w14:textId="77777777" w:rsidR="00A706F7" w:rsidRPr="004D124E" w:rsidRDefault="00A706F7">
      <w:pPr>
        <w:jc w:val="both"/>
      </w:pPr>
    </w:p>
    <w:p w14:paraId="7CFCC953" w14:textId="77777777" w:rsidR="004E382D" w:rsidRPr="004D124E" w:rsidRDefault="004E382D">
      <w:pPr>
        <w:jc w:val="both"/>
      </w:pPr>
    </w:p>
    <w:p w14:paraId="08C46878" w14:textId="77777777" w:rsidR="004E382D" w:rsidRPr="004D124E" w:rsidRDefault="004E382D">
      <w:pPr>
        <w:jc w:val="both"/>
      </w:pPr>
    </w:p>
    <w:p w14:paraId="71E88C0C" w14:textId="77777777" w:rsidR="004E382D" w:rsidRPr="004D124E" w:rsidRDefault="004E382D">
      <w:pPr>
        <w:jc w:val="both"/>
      </w:pPr>
    </w:p>
    <w:p w14:paraId="01519B01" w14:textId="77777777" w:rsidR="004E382D" w:rsidRPr="004D124E" w:rsidRDefault="004E382D">
      <w:pPr>
        <w:jc w:val="both"/>
      </w:pPr>
    </w:p>
    <w:p w14:paraId="32B4258B" w14:textId="77777777" w:rsidR="004E382D" w:rsidRPr="004D124E" w:rsidRDefault="004E382D">
      <w:pPr>
        <w:jc w:val="both"/>
      </w:pPr>
    </w:p>
    <w:p w14:paraId="44111778" w14:textId="77777777" w:rsidR="00952A3B" w:rsidRPr="004D124E" w:rsidRDefault="00952A3B">
      <w:pPr>
        <w:jc w:val="both"/>
      </w:pPr>
    </w:p>
    <w:p w14:paraId="5EBE30FE" w14:textId="77777777" w:rsidR="00952A3B" w:rsidRPr="004D124E" w:rsidRDefault="00952A3B">
      <w:pPr>
        <w:jc w:val="both"/>
      </w:pPr>
    </w:p>
    <w:tbl>
      <w:tblPr>
        <w:tblW w:w="0" w:type="auto"/>
        <w:tblInd w:w="1266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1604"/>
        <w:gridCol w:w="2921"/>
      </w:tblGrid>
      <w:tr w:rsidR="004D124E" w:rsidRPr="004D124E" w14:paraId="1FD2F9B1" w14:textId="77777777">
        <w:tc>
          <w:tcPr>
            <w:tcW w:w="3554" w:type="dxa"/>
            <w:tcBorders>
              <w:bottom w:val="dashed" w:sz="8" w:space="0" w:color="000000"/>
            </w:tcBorders>
            <w:shd w:val="clear" w:color="auto" w:fill="auto"/>
          </w:tcPr>
          <w:p w14:paraId="416A7310" w14:textId="77777777" w:rsidR="00952A3B" w:rsidRPr="004D124E" w:rsidRDefault="00952A3B">
            <w:pPr>
              <w:pStyle w:val="Zawartotabeli"/>
              <w:spacing w:after="283"/>
            </w:pPr>
            <w:r w:rsidRPr="004D124E">
              <w:t> </w:t>
            </w:r>
          </w:p>
        </w:tc>
        <w:tc>
          <w:tcPr>
            <w:tcW w:w="1604" w:type="dxa"/>
            <w:shd w:val="clear" w:color="auto" w:fill="auto"/>
          </w:tcPr>
          <w:p w14:paraId="2BCD1125" w14:textId="77777777" w:rsidR="00952A3B" w:rsidRPr="004D124E" w:rsidRDefault="00952A3B">
            <w:pPr>
              <w:pStyle w:val="Zawartotabeli"/>
              <w:spacing w:after="283"/>
            </w:pPr>
            <w:r w:rsidRPr="004D124E">
              <w:t> </w:t>
            </w:r>
          </w:p>
        </w:tc>
        <w:tc>
          <w:tcPr>
            <w:tcW w:w="2921" w:type="dxa"/>
            <w:tcBorders>
              <w:bottom w:val="dashed" w:sz="8" w:space="0" w:color="000000"/>
            </w:tcBorders>
            <w:shd w:val="clear" w:color="auto" w:fill="auto"/>
          </w:tcPr>
          <w:p w14:paraId="7517743B" w14:textId="77777777" w:rsidR="00952A3B" w:rsidRPr="004D124E" w:rsidRDefault="00952A3B">
            <w:pPr>
              <w:pStyle w:val="Zawartotabeli"/>
              <w:spacing w:after="283"/>
            </w:pPr>
            <w:r w:rsidRPr="004D124E">
              <w:t> </w:t>
            </w:r>
          </w:p>
        </w:tc>
      </w:tr>
      <w:tr w:rsidR="00952A3B" w:rsidRPr="004D124E" w14:paraId="63A8C461" w14:textId="77777777">
        <w:tblPrEx>
          <w:tblCellMar>
            <w:bottom w:w="0" w:type="dxa"/>
          </w:tblCellMar>
        </w:tblPrEx>
        <w:tc>
          <w:tcPr>
            <w:tcW w:w="3554" w:type="dxa"/>
            <w:shd w:val="clear" w:color="auto" w:fill="auto"/>
          </w:tcPr>
          <w:p w14:paraId="7BC1B152" w14:textId="77777777" w:rsidR="00952A3B" w:rsidRPr="004D124E" w:rsidRDefault="00952A3B">
            <w:pPr>
              <w:pStyle w:val="Zawartotabeli"/>
              <w:spacing w:before="240"/>
              <w:jc w:val="center"/>
            </w:pPr>
            <w:r w:rsidRPr="004D124E">
              <w:rPr>
                <w:sz w:val="22"/>
              </w:rPr>
              <w:t>Publisher</w:t>
            </w:r>
          </w:p>
        </w:tc>
        <w:tc>
          <w:tcPr>
            <w:tcW w:w="1604" w:type="dxa"/>
            <w:shd w:val="clear" w:color="auto" w:fill="auto"/>
          </w:tcPr>
          <w:p w14:paraId="50BC9591" w14:textId="77777777" w:rsidR="00952A3B" w:rsidRPr="004D124E" w:rsidRDefault="00952A3B">
            <w:pPr>
              <w:pStyle w:val="Zawartotabeli"/>
              <w:spacing w:before="240"/>
              <w:jc w:val="center"/>
              <w:rPr>
                <w:sz w:val="22"/>
              </w:rPr>
            </w:pPr>
            <w:r w:rsidRPr="004D124E">
              <w:t> </w:t>
            </w:r>
          </w:p>
        </w:tc>
        <w:tc>
          <w:tcPr>
            <w:tcW w:w="2921" w:type="dxa"/>
            <w:shd w:val="clear" w:color="auto" w:fill="auto"/>
          </w:tcPr>
          <w:p w14:paraId="6DC2C266" w14:textId="77777777" w:rsidR="00952A3B" w:rsidRPr="004D124E" w:rsidRDefault="00952A3B">
            <w:pPr>
              <w:pStyle w:val="Zawartotabeli"/>
              <w:spacing w:before="240"/>
              <w:jc w:val="center"/>
            </w:pPr>
            <w:r w:rsidRPr="004D124E">
              <w:rPr>
                <w:sz w:val="22"/>
              </w:rPr>
              <w:t>Author</w:t>
            </w:r>
          </w:p>
        </w:tc>
      </w:tr>
    </w:tbl>
    <w:p w14:paraId="5C82AADB" w14:textId="77777777" w:rsidR="00952A3B" w:rsidRPr="004D124E" w:rsidRDefault="00952A3B">
      <w:pPr>
        <w:jc w:val="both"/>
      </w:pPr>
    </w:p>
    <w:sectPr w:rsidR="00952A3B" w:rsidRPr="004D124E">
      <w:pgSz w:w="11906" w:h="16838"/>
      <w:pgMar w:top="1134" w:right="1127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CE"/>
    <w:rsid w:val="00084640"/>
    <w:rsid w:val="000E7952"/>
    <w:rsid w:val="000F7493"/>
    <w:rsid w:val="002157BE"/>
    <w:rsid w:val="00237B97"/>
    <w:rsid w:val="00326207"/>
    <w:rsid w:val="0032668E"/>
    <w:rsid w:val="00365064"/>
    <w:rsid w:val="00371C7C"/>
    <w:rsid w:val="003D43D6"/>
    <w:rsid w:val="004D124E"/>
    <w:rsid w:val="004E382D"/>
    <w:rsid w:val="00587906"/>
    <w:rsid w:val="006802D3"/>
    <w:rsid w:val="006B4455"/>
    <w:rsid w:val="006C77BA"/>
    <w:rsid w:val="007803B7"/>
    <w:rsid w:val="00807B5E"/>
    <w:rsid w:val="008D753B"/>
    <w:rsid w:val="00952A3B"/>
    <w:rsid w:val="009E19BF"/>
    <w:rsid w:val="00A706F7"/>
    <w:rsid w:val="00B00D0B"/>
    <w:rsid w:val="00B876CE"/>
    <w:rsid w:val="00CC41C1"/>
    <w:rsid w:val="00CC659B"/>
    <w:rsid w:val="00CC72C3"/>
    <w:rsid w:val="00E51BA4"/>
    <w:rsid w:val="00EA55A1"/>
    <w:rsid w:val="00EE07A1"/>
    <w:rsid w:val="00FA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08486"/>
  <w15:docId w15:val="{7E05FA50-6255-45D7-ACF4-6999ABB0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GB" w:eastAsia="zh-C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eastAsia="Andale Sans UI" w:hAnsi="Segoe UI" w:cs="Segoe UI"/>
      <w:kern w:val="1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Marath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Marathi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pracownik</cp:lastModifiedBy>
  <cp:revision>2</cp:revision>
  <cp:lastPrinted>2015-07-02T18:46:00Z</cp:lastPrinted>
  <dcterms:created xsi:type="dcterms:W3CDTF">2024-08-04T17:16:00Z</dcterms:created>
  <dcterms:modified xsi:type="dcterms:W3CDTF">2024-08-04T17:16:00Z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